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96779">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天津市滨海新区国防动员办公室2024年</w:t>
      </w:r>
    </w:p>
    <w:p w14:paraId="50B78103">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政府信息公开工作年度报告</w:t>
      </w:r>
    </w:p>
    <w:p w14:paraId="7EB398E2">
      <w:pPr>
        <w:keepNext w:val="0"/>
        <w:keepLines w:val="0"/>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14:paraId="7F5929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本年度报告根据《中华人民共和国政府信息公开条例》（国务院令第711号，以下简称《条例》），结合天津市滨海新区</w:t>
      </w:r>
      <w:r>
        <w:rPr>
          <w:rFonts w:hint="eastAsia" w:ascii="仿宋_GB2312" w:hAnsi="仿宋_GB2312" w:eastAsia="仿宋_GB2312" w:cs="仿宋_GB2312"/>
          <w:sz w:val="32"/>
          <w:szCs w:val="32"/>
          <w:lang w:val="en-US" w:eastAsia="zh-CN"/>
        </w:rPr>
        <w:t>国防动员办公室</w:t>
      </w:r>
      <w:r>
        <w:rPr>
          <w:rFonts w:hint="eastAsia" w:ascii="仿宋_GB2312" w:hAnsi="仿宋_GB2312" w:eastAsia="仿宋_GB2312" w:cs="仿宋_GB2312"/>
          <w:sz w:val="32"/>
          <w:szCs w:val="32"/>
        </w:rPr>
        <w:t>信息公开工作情况编制。本年度报告由总体情况，主动公开政府信息情况，收到和处理政府信息公开申请情况，政府信息公开行政复议、行政诉讼情况，政府信息公开工作存在的主要问题及改进情况等六部分组成。</w:t>
      </w:r>
    </w:p>
    <w:p w14:paraId="0A7BFB64">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14:paraId="7C9DC4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年，滨海新区国防动员办公室在习近平新时代中国特色社会主义思想指导下，</w:t>
      </w:r>
      <w:r>
        <w:rPr>
          <w:rFonts w:hint="eastAsia" w:ascii="仿宋_GB2312" w:hAnsi="仿宋_GB2312" w:eastAsia="仿宋_GB2312" w:cs="仿宋_GB2312"/>
          <w:sz w:val="32"/>
          <w:szCs w:val="32"/>
          <w:lang w:eastAsia="zh-CN"/>
        </w:rPr>
        <w:t>深入学习贯彻党的二十大精神</w:t>
      </w:r>
      <w:r>
        <w:rPr>
          <w:rFonts w:hint="eastAsia" w:ascii="仿宋_GB2312" w:hAnsi="仿宋_GB2312" w:eastAsia="仿宋_GB2312" w:cs="仿宋_GB2312"/>
          <w:sz w:val="32"/>
          <w:szCs w:val="32"/>
          <w:lang w:val="en-US" w:eastAsia="zh-CN"/>
        </w:rPr>
        <w:t>和习近平总书记视察天津时提出的“四个善作善成”重要要求</w:t>
      </w:r>
      <w:r>
        <w:rPr>
          <w:rFonts w:hint="eastAsia" w:ascii="仿宋_GB2312" w:hAnsi="仿宋_GB2312" w:eastAsia="仿宋_GB2312" w:cs="仿宋_GB2312"/>
          <w:sz w:val="32"/>
          <w:szCs w:val="32"/>
        </w:rPr>
        <w:t>，贯彻国家和天津市政府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滨海新区政府</w:t>
      </w:r>
      <w:r>
        <w:rPr>
          <w:rFonts w:hint="eastAsia" w:ascii="仿宋_GB2312" w:hAnsi="仿宋_GB2312" w:eastAsia="仿宋_GB2312" w:cs="仿宋_GB2312"/>
          <w:sz w:val="32"/>
          <w:szCs w:val="32"/>
        </w:rPr>
        <w:t>信息公开工作要求，围绕区域发展和中心任务，以人民为中心，不断深化政务公开，提升政府信息公开工作质量与水平。</w:t>
      </w:r>
    </w:p>
    <w:p w14:paraId="4FB18421">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（一）主动公开方面。</w:t>
      </w:r>
      <w:r>
        <w:rPr>
          <w:rFonts w:hint="eastAsia" w:ascii="仿宋_GB2312" w:hAnsi="仿宋_GB2312" w:eastAsia="仿宋_GB2312" w:cs="仿宋_GB2312"/>
          <w:sz w:val="32"/>
          <w:szCs w:val="32"/>
        </w:rPr>
        <w:t>滨海新区国防动员办公室深化</w:t>
      </w:r>
      <w:r>
        <w:rPr>
          <w:rFonts w:hint="eastAsia" w:ascii="仿宋_GB2312" w:hAnsi="仿宋_GB2312" w:eastAsia="仿宋_GB2312" w:cs="仿宋_GB2312"/>
          <w:sz w:val="32"/>
          <w:szCs w:val="32"/>
          <w:lang w:val="en-US" w:eastAsia="zh-CN"/>
        </w:rPr>
        <w:t>国防动员和人民防空</w:t>
      </w:r>
      <w:r>
        <w:rPr>
          <w:rFonts w:hint="eastAsia" w:ascii="仿宋_GB2312" w:hAnsi="仿宋_GB2312" w:eastAsia="仿宋_GB2312" w:cs="仿宋_GB2312"/>
          <w:sz w:val="32"/>
          <w:szCs w:val="32"/>
        </w:rPr>
        <w:t>领域信息公开，</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强化政策文件</w:t>
      </w:r>
      <w:r>
        <w:rPr>
          <w:rFonts w:hint="eastAsia" w:ascii="仿宋_GB2312" w:hAnsi="仿宋_GB2312" w:eastAsia="仿宋_GB2312" w:cs="仿宋_GB2312"/>
          <w:sz w:val="32"/>
          <w:szCs w:val="32"/>
          <w:lang w:val="en-US" w:eastAsia="zh-CN"/>
        </w:rPr>
        <w:t>和执法情况</w:t>
      </w:r>
      <w:r>
        <w:rPr>
          <w:rFonts w:hint="eastAsia" w:ascii="仿宋_GB2312" w:hAnsi="仿宋_GB2312" w:eastAsia="仿宋_GB2312" w:cs="仿宋_GB2312"/>
          <w:sz w:val="32"/>
          <w:szCs w:val="32"/>
        </w:rPr>
        <w:t>的集中公开。通过</w:t>
      </w:r>
      <w:r>
        <w:rPr>
          <w:rFonts w:hint="eastAsia" w:ascii="仿宋_GB2312" w:hAnsi="仿宋_GB2312" w:eastAsia="仿宋_GB2312" w:cs="仿宋_GB2312"/>
          <w:sz w:val="32"/>
          <w:szCs w:val="32"/>
          <w:lang w:val="en-US" w:eastAsia="zh-CN"/>
        </w:rPr>
        <w:t>区国动办</w:t>
      </w:r>
      <w:r>
        <w:rPr>
          <w:rFonts w:hint="eastAsia" w:ascii="仿宋_GB2312" w:hAnsi="仿宋_GB2312" w:eastAsia="仿宋_GB2312" w:cs="仿宋_GB2312"/>
          <w:sz w:val="32"/>
          <w:szCs w:val="32"/>
        </w:rPr>
        <w:t>门户网站发布政府信息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条，包括文件类</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条和公示类</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w:t>
      </w:r>
    </w:p>
    <w:p w14:paraId="21BB454C">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（二）依申请公开方面。</w:t>
      </w:r>
      <w:r>
        <w:rPr>
          <w:rFonts w:hint="eastAsia" w:ascii="仿宋_GB2312" w:hAnsi="仿宋_GB2312" w:eastAsia="仿宋_GB2312" w:cs="仿宋_GB2312"/>
          <w:sz w:val="32"/>
          <w:szCs w:val="32"/>
        </w:rPr>
        <w:t>完善了工作机制，规范了办理程序，确保了政府信息依申请公开工作的扎实</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。全年共收到政府信息公开申请</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件，答复</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顺延至下年度答复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年，政府信息公开类行政复议案件为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件，行政诉讼案件（复议后起诉）为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p>
    <w:p w14:paraId="44F3D37C">
      <w:pPr>
        <w:widowControl w:val="0"/>
        <w:ind w:firstLine="640" w:firstLineChars="200"/>
        <w:jc w:val="both"/>
        <w:rPr>
          <w:rFonts w:hint="eastAsia" w:ascii="仿宋_GB2312" w:hAnsi="仿宋_GB2312" w:eastAsia="仿宋_GB2312" w:cs="仿宋_GB2312"/>
          <w:kern w:val="2"/>
          <w:sz w:val="32"/>
          <w:szCs w:val="32"/>
          <w:lang w:eastAsia="zh-CN" w:bidi="ar-SA"/>
        </w:rPr>
      </w:pPr>
      <w:r>
        <w:rPr>
          <w:rFonts w:hint="eastAsia" w:ascii="楷体_GB2312" w:hAnsi="楷体_GB2312" w:eastAsia="楷体_GB2312" w:cs="楷体_GB2312"/>
          <w:b w:val="0"/>
          <w:bCs w:val="0"/>
          <w:sz w:val="32"/>
          <w:szCs w:val="32"/>
        </w:rPr>
        <w:t>（三）政府信息管理方面。</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执法工作，积极改善政府信息的分类整合，重点突出了法定的主动公开事项，确保了政府信息公开版块的及时更新。同时，有序发布了</w:t>
      </w:r>
      <w:r>
        <w:rPr>
          <w:rFonts w:hint="eastAsia" w:ascii="仿宋_GB2312" w:hAnsi="仿宋_GB2312" w:eastAsia="仿宋_GB2312" w:cs="仿宋_GB2312"/>
          <w:sz w:val="32"/>
          <w:szCs w:val="32"/>
          <w:lang w:val="en-US" w:eastAsia="zh-CN"/>
        </w:rPr>
        <w:t>国防动员和人民防空工作</w:t>
      </w:r>
      <w:r>
        <w:rPr>
          <w:rFonts w:hint="eastAsia" w:ascii="仿宋_GB2312" w:hAnsi="仿宋_GB2312" w:eastAsia="仿宋_GB2312" w:cs="仿宋_GB2312"/>
          <w:sz w:val="32"/>
          <w:szCs w:val="32"/>
        </w:rPr>
        <w:t>信息，以提高透明度和</w:t>
      </w:r>
      <w:r>
        <w:rPr>
          <w:rFonts w:hint="eastAsia" w:ascii="仿宋_GB2312" w:hAnsi="仿宋_GB2312" w:eastAsia="仿宋_GB2312" w:cs="仿宋_GB2312"/>
          <w:sz w:val="32"/>
          <w:szCs w:val="32"/>
          <w:lang w:eastAsia="zh-CN"/>
        </w:rPr>
        <w:t>保障公</w:t>
      </w:r>
      <w:r>
        <w:rPr>
          <w:rFonts w:hint="eastAsia" w:ascii="仿宋_GB2312" w:hAnsi="仿宋_GB2312" w:eastAsia="仿宋_GB2312" w:cs="仿宋_GB2312"/>
          <w:sz w:val="32"/>
          <w:szCs w:val="32"/>
        </w:rPr>
        <w:t>众的知情权。集中展示</w:t>
      </w:r>
      <w:r>
        <w:rPr>
          <w:rFonts w:hint="eastAsia" w:ascii="仿宋_GB2312" w:hAnsi="仿宋_GB2312" w:eastAsia="仿宋_GB2312" w:cs="仿宋_GB2312"/>
          <w:sz w:val="32"/>
          <w:szCs w:val="32"/>
          <w:lang w:val="en-US" w:eastAsia="zh-CN"/>
        </w:rPr>
        <w:t>了相关法律法规</w:t>
      </w:r>
      <w:r>
        <w:rPr>
          <w:rFonts w:hint="eastAsia" w:ascii="仿宋_GB2312" w:hAnsi="仿宋_GB2312" w:eastAsia="仿宋_GB2312" w:cs="仿宋_GB2312"/>
          <w:sz w:val="32"/>
          <w:szCs w:val="32"/>
        </w:rPr>
        <w:t>，并提供了在线查看、搜索、下载等便捷服务，方便公众获取相关信息。</w:t>
      </w:r>
    </w:p>
    <w:p w14:paraId="0CDF52E9">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（四）平台建设方面。</w:t>
      </w:r>
      <w:r>
        <w:rPr>
          <w:rFonts w:hint="eastAsia" w:ascii="仿宋_GB2312" w:hAnsi="仿宋_GB2312" w:eastAsia="仿宋_GB2312" w:cs="仿宋_GB2312"/>
          <w:sz w:val="32"/>
          <w:szCs w:val="32"/>
        </w:rPr>
        <w:t>持续规范</w:t>
      </w:r>
      <w:r>
        <w:rPr>
          <w:rFonts w:hint="eastAsia" w:ascii="仿宋_GB2312" w:hAnsi="仿宋_GB2312" w:eastAsia="仿宋_GB2312" w:cs="仿宋_GB2312"/>
          <w:sz w:val="32"/>
          <w:szCs w:val="32"/>
          <w:lang w:val="en-US" w:eastAsia="zh-CN"/>
        </w:rPr>
        <w:t>区国动办</w:t>
      </w:r>
      <w:r>
        <w:rPr>
          <w:rFonts w:hint="eastAsia" w:ascii="仿宋_GB2312" w:hAnsi="仿宋_GB2312" w:eastAsia="仿宋_GB2312" w:cs="仿宋_GB2312"/>
          <w:sz w:val="32"/>
          <w:szCs w:val="32"/>
        </w:rPr>
        <w:t>网站布局和信息公开内容，优化了信息公开专栏设置，并强化了</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信息公开工作，确保了网站和政务新媒体的安全稳定运行。</w:t>
      </w:r>
    </w:p>
    <w:p w14:paraId="20717F99">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（五）监督保障方面。</w:t>
      </w:r>
      <w:r>
        <w:rPr>
          <w:rFonts w:hint="eastAsia" w:ascii="仿宋_GB2312" w:hAnsi="仿宋_GB2312" w:eastAsia="仿宋_GB2312" w:cs="仿宋_GB2312"/>
          <w:sz w:val="32"/>
          <w:szCs w:val="32"/>
        </w:rPr>
        <w:t>加大了对政府信息公开工作的</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主要领导和分管领导定期检查和不定期抽查相结合，</w:t>
      </w:r>
      <w:r>
        <w:rPr>
          <w:rFonts w:hint="eastAsia" w:ascii="仿宋_GB2312" w:hAnsi="仿宋_GB2312" w:eastAsia="仿宋_GB2312" w:cs="仿宋_GB2312"/>
          <w:sz w:val="32"/>
          <w:szCs w:val="32"/>
        </w:rPr>
        <w:t>推动了工作的持续深化落实。同时，加强对</w:t>
      </w:r>
      <w:r>
        <w:rPr>
          <w:rFonts w:hint="eastAsia" w:ascii="仿宋_GB2312" w:hAnsi="仿宋_GB2312" w:eastAsia="仿宋_GB2312" w:cs="仿宋_GB2312"/>
          <w:sz w:val="32"/>
          <w:szCs w:val="32"/>
          <w:lang w:val="en-US" w:eastAsia="zh-CN"/>
        </w:rPr>
        <w:t>区国动办</w:t>
      </w:r>
      <w:r>
        <w:rPr>
          <w:rFonts w:hint="eastAsia" w:ascii="仿宋_GB2312" w:hAnsi="仿宋_GB2312" w:eastAsia="仿宋_GB2312" w:cs="仿宋_GB2312"/>
          <w:sz w:val="32"/>
          <w:szCs w:val="32"/>
        </w:rPr>
        <w:t>网站和政务新媒体的</w:t>
      </w:r>
      <w:r>
        <w:rPr>
          <w:rFonts w:hint="eastAsia" w:ascii="仿宋_GB2312" w:hAnsi="仿宋_GB2312" w:eastAsia="仿宋_GB2312" w:cs="仿宋_GB2312"/>
          <w:sz w:val="32"/>
          <w:szCs w:val="32"/>
          <w:lang w:val="en-US" w:eastAsia="zh-CN"/>
        </w:rPr>
        <w:t>保密检查</w:t>
      </w:r>
      <w:r>
        <w:rPr>
          <w:rFonts w:hint="eastAsia" w:ascii="仿宋_GB2312" w:hAnsi="仿宋_GB2312" w:eastAsia="仿宋_GB2312" w:cs="仿宋_GB2312"/>
          <w:sz w:val="32"/>
          <w:szCs w:val="32"/>
        </w:rPr>
        <w:t>，强化了运行维护和监督整改。</w:t>
      </w:r>
    </w:p>
    <w:p w14:paraId="1ED7C4C6">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48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14:paraId="204D8DFB">
      <w:pPr>
        <w:widowControl/>
        <w:shd w:val="clear" w:color="auto" w:fill="auto"/>
        <w:ind w:firstLine="480"/>
        <w:rPr>
          <w:rFonts w:hint="eastAsia" w:ascii="宋体" w:hAnsi="宋体" w:eastAsia="宋体" w:cs="宋体"/>
          <w:color w:val="000000"/>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71150EC3">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2759DB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14:paraId="451D6FF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DCE579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D28141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6CC43150">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A201BBC">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14:paraId="5C48D92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F532A6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B6803C">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A3FC3C">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62A948">
            <w:pPr>
              <w:widowControl/>
              <w:jc w:val="center"/>
              <w:rPr>
                <w:rFonts w:hint="eastAsia" w:ascii="宋体" w:hAnsi="宋体" w:eastAsia="宋体" w:cs="宋体"/>
                <w:color w:val="000000"/>
                <w:kern w:val="0"/>
                <w:sz w:val="28"/>
                <w:szCs w:val="28"/>
                <w:lang w:eastAsia="zh-CN"/>
              </w:rPr>
            </w:pPr>
            <w:r>
              <w:rPr>
                <w:rFonts w:hint="eastAsia" w:ascii="Calibri" w:hAnsi="Calibri" w:cs="宋体"/>
                <w:color w:val="000000"/>
                <w:kern w:val="0"/>
                <w:sz w:val="28"/>
                <w:szCs w:val="28"/>
                <w:lang w:val="en-US" w:eastAsia="zh-CN"/>
              </w:rPr>
              <w:t>0</w:t>
            </w:r>
          </w:p>
        </w:tc>
      </w:tr>
      <w:tr w14:paraId="07ABF35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71503C20">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C65E7A">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6FF8F3">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0E1E63">
            <w:pPr>
              <w:widowControl/>
              <w:jc w:val="center"/>
              <w:rPr>
                <w:rFonts w:hint="eastAsia" w:ascii="宋体" w:hAnsi="宋体" w:eastAsia="宋体" w:cs="宋体"/>
                <w:color w:val="000000"/>
                <w:kern w:val="0"/>
                <w:sz w:val="28"/>
                <w:szCs w:val="28"/>
                <w:lang w:eastAsia="zh-CN"/>
              </w:rPr>
            </w:pPr>
            <w:r>
              <w:rPr>
                <w:rFonts w:hint="eastAsia" w:ascii="Calibri" w:hAnsi="Calibri" w:cs="宋体"/>
                <w:color w:val="000000"/>
                <w:kern w:val="0"/>
                <w:sz w:val="28"/>
                <w:szCs w:val="28"/>
                <w:lang w:val="en-US" w:eastAsia="zh-CN"/>
              </w:rPr>
              <w:t>0</w:t>
            </w:r>
          </w:p>
        </w:tc>
      </w:tr>
      <w:tr w14:paraId="0DEF7CE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B18F40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14:paraId="458442E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C6F2A3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58862E">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62A43E3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CF3A9FD">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20E54F">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200</w:t>
            </w:r>
          </w:p>
        </w:tc>
      </w:tr>
      <w:tr w14:paraId="22F5F3E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26C835C5">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14:paraId="64B177E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8F1A73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69FAC3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14:paraId="5947007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3CA7FA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40C5B6">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6</w:t>
            </w:r>
          </w:p>
        </w:tc>
      </w:tr>
      <w:tr w14:paraId="1B5A018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FE0D426">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AAB477">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0</w:t>
            </w:r>
          </w:p>
        </w:tc>
      </w:tr>
      <w:tr w14:paraId="56AA6EC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360ABD8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14:paraId="1A23CEC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2266D803">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3FD77E8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14:paraId="0BD7ACA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2080F71">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4C33C765">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4509</w:t>
            </w:r>
          </w:p>
        </w:tc>
      </w:tr>
    </w:tbl>
    <w:p w14:paraId="50B06C98">
      <w:pPr>
        <w:widowControl/>
        <w:shd w:val="clear" w:color="auto" w:fill="auto"/>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14:paraId="4E1B6F4A">
      <w:pPr>
        <w:widowControl/>
        <w:shd w:val="clear" w:color="auto" w:fill="auto"/>
        <w:ind w:firstLine="480"/>
        <w:rPr>
          <w:rFonts w:hint="eastAsia" w:ascii="宋体" w:hAnsi="宋体" w:eastAsia="宋体" w:cs="宋体"/>
          <w:color w:val="000000"/>
          <w:kern w:val="0"/>
          <w:sz w:val="24"/>
          <w:szCs w:val="24"/>
        </w:rPr>
      </w:pPr>
    </w:p>
    <w:tbl>
      <w:tblPr>
        <w:tblStyle w:val="5"/>
        <w:tblW w:w="9748" w:type="dxa"/>
        <w:jc w:val="center"/>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787B9243">
        <w:tblPrEx>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14:paraId="0897312E">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E7094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14:paraId="5366DF19">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2D2D9638">
            <w:pPr>
              <w:widowControl/>
              <w:jc w:val="left"/>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6EFC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1"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9A6AA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14:paraId="072B60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14:paraId="4EFF78C4">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14:paraId="131CF4B2">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14:paraId="026DCB1F">
            <w:pPr>
              <w:widowControl/>
              <w:jc w:val="left"/>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B64C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14:paraId="057023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80D5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14:paraId="72DD82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57347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E916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7DA5C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14:paraId="16E88479">
            <w:pPr>
              <w:widowControl/>
              <w:jc w:val="left"/>
              <w:rPr>
                <w:rFonts w:ascii="宋体" w:hAnsi="宋体" w:eastAsia="宋体" w:cs="宋体"/>
                <w:color w:val="000000"/>
                <w:kern w:val="0"/>
                <w:sz w:val="24"/>
                <w:szCs w:val="24"/>
              </w:rPr>
            </w:pPr>
          </w:p>
        </w:tc>
      </w:tr>
      <w:tr w14:paraId="32574661">
        <w:tblPrEx>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6E1DA86">
            <w:pPr>
              <w:widowControl/>
              <w:jc w:val="left"/>
              <w:rPr>
                <w:rFonts w:ascii="宋体" w:hAnsi="宋体" w:eastAsia="宋体" w:cs="宋体"/>
                <w:color w:val="000000"/>
                <w:kern w:val="0"/>
                <w:sz w:val="24"/>
                <w:szCs w:val="24"/>
              </w:rPr>
            </w:pPr>
            <w:bookmarkStart w:id="0" w:name="_GoBack" w:colFirst="9" w:colLast="9"/>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42D046">
            <w:pPr>
              <w:widowControl/>
              <w:jc w:val="center"/>
              <w:rPr>
                <w:rFonts w:hint="default"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50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CAD6D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FE116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F7848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C305C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1E193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827064">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50</w:t>
            </w:r>
          </w:p>
        </w:tc>
      </w:tr>
      <w:tr w14:paraId="2B33608E">
        <w:tblPrEx>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0D688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BC6539">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ADB73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6C295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4BBDD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A11FF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1CD59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322E5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311512F">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14:paraId="2F4F7A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5BC4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8852CC">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7</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09D96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DFB4F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FDF12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E2D77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17F2F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09D5F7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7</w:t>
            </w:r>
          </w:p>
        </w:tc>
      </w:tr>
      <w:tr w14:paraId="4B27AF0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6A6E912">
            <w:pPr>
              <w:widowControl/>
              <w:jc w:val="left"/>
              <w:rPr>
                <w:rFonts w:ascii="宋体" w:hAnsi="宋体" w:eastAsia="宋体" w:cs="宋体"/>
                <w:color w:val="000000"/>
                <w:kern w:val="0"/>
                <w:sz w:val="24"/>
                <w:szCs w:val="24"/>
              </w:rPr>
            </w:pPr>
          </w:p>
        </w:tc>
        <w:tc>
          <w:tcPr>
            <w:tcW w:w="4162"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9C9D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CC65C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7A4B3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0B99B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FD1B34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B3EB7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7B8869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6275A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00DE61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22089E3F">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65BB88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5CD7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71A52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CD256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C74A40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594D94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303EDC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7D8A7A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172335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92F969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79124AE">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1951E796">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22486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C2A64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B06FD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65219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E25022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C7CAE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83F7E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2B88F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54080E0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8F640D8">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05E126AC">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8AA97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13D85D8">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13</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590480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A4106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86706C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EE4EEE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AB3AC3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F6A31E">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13</w:t>
            </w:r>
          </w:p>
        </w:tc>
      </w:tr>
      <w:tr w14:paraId="11414D8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5D2B770">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5DC725B">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15B9B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F43CCF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16B6ED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92908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ED31A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815DA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C90794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223F7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759CEC2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5466B95">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7648404">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923D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5BFF2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B44E2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26757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1405D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61B6C3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67F4A5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F55D9A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8D1D4C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C516DF6">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719CEC2">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EE01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D87715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8E44B2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3FA19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E1649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12FB5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286CF3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48EF5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2EC639A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B8F852A">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5700029">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A81C1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726B25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FFD237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4DE8CB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F71C10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E3FA8B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CBDAF5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7A227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18F2A4E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4BCCFC7">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22A881BE">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2F7F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DB4D8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F23B1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34285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169341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19B3F9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B8E52F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9B168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37592ED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5C60335">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619E0A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89D22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944385B">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29</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D09058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4483FA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09C4AA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9D01B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062AF0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6C72D2">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29</w:t>
            </w:r>
          </w:p>
        </w:tc>
      </w:tr>
      <w:bookmarkEnd w:id="0"/>
      <w:tr w14:paraId="11E7893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1BBBA72">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F8548B9">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AF4D8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88910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41F112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0DA3D2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24D88E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425850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78D655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93711D4">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58607BA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25D83BD">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72852B63">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2DB7C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D3BFA2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4E24F4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FDF42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3CFDDA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C7A178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C0650A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A585D6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25126BE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344DFB89">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14:paraId="4497A4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C850F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F730E4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E675EB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B1C016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6CA855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FF0348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43A58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08E84D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3C509ED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4157DA8C">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67DBA6E1">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08C27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39D561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D3B1A1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4F7EED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96D5D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70CDF4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310973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0FEA9D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DFE1FA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76293515">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B786C45">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E28F5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B95C52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60CA598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CFDA66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BD3A94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7A40C9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8B146C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9B528A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5FCFB2B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22C81FDC">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4E009222">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3BE54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472A5D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AD0C49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D0817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2E562F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3F76DEA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467B4C5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49E232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AADDCCB">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15A36B99">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14:paraId="58E3F691">
            <w:pPr>
              <w:widowControl/>
              <w:jc w:val="left"/>
              <w:rPr>
                <w:rFonts w:ascii="宋体" w:hAnsi="宋体" w:eastAsia="宋体" w:cs="宋体"/>
                <w:color w:val="000000"/>
                <w:kern w:val="0"/>
                <w:sz w:val="24"/>
                <w:szCs w:val="24"/>
              </w:rPr>
            </w:pPr>
          </w:p>
        </w:tc>
        <w:tc>
          <w:tcPr>
            <w:tcW w:w="3219"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090BFE3A">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3829D9A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03B1B84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24789AAA">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70339D5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3E29245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top"/>
          </w:tcPr>
          <w:p w14:paraId="0686B64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14:paraId="67A7755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6DF84B6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D0E57E9">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14:paraId="581C54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5EB146">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9CE51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C4116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9CFDD3">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E9F27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9210C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AEA23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55D38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05401CE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51AAB6CD">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24CCE0EC">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EA2901">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455B2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D35B5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A3858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4C531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A96FA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C0B450">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59AB9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060C0F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6C3FB7F5">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14:paraId="0375DAF7">
            <w:pPr>
              <w:widowControl/>
              <w:jc w:val="left"/>
              <w:rPr>
                <w:rFonts w:ascii="宋体" w:hAnsi="宋体" w:eastAsia="宋体" w:cs="宋体"/>
                <w:color w:val="000000"/>
                <w:kern w:val="0"/>
                <w:sz w:val="24"/>
                <w:szCs w:val="24"/>
              </w:rPr>
            </w:pPr>
          </w:p>
        </w:tc>
        <w:tc>
          <w:tcPr>
            <w:tcW w:w="321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126F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7C3AA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5AF84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D622C8">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A8A92E6">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7B5FC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16EA2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8E1A7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14:paraId="471104B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14:paraId="0F48B57C">
            <w:pPr>
              <w:widowControl/>
              <w:jc w:val="left"/>
              <w:rPr>
                <w:rFonts w:ascii="宋体" w:hAnsi="宋体" w:eastAsia="宋体" w:cs="宋体"/>
                <w:color w:val="000000"/>
                <w:kern w:val="0"/>
                <w:sz w:val="24"/>
                <w:szCs w:val="24"/>
              </w:rPr>
            </w:pPr>
          </w:p>
        </w:tc>
        <w:tc>
          <w:tcPr>
            <w:tcW w:w="4162"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96D1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671DE6">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49</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31648F">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89FD1CD">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563052">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9240BC">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8D05B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5FADF38">
            <w:pPr>
              <w:widowControl/>
              <w:jc w:val="center"/>
              <w:rPr>
                <w:rFonts w:hint="default" w:ascii="宋体" w:hAnsi="宋体" w:eastAsia="宋体" w:cs="宋体"/>
                <w:color w:val="000000"/>
                <w:kern w:val="0"/>
                <w:sz w:val="24"/>
                <w:szCs w:val="24"/>
                <w:lang w:val="en-US"/>
              </w:rPr>
            </w:pPr>
            <w:r>
              <w:rPr>
                <w:rFonts w:hint="eastAsia" w:ascii="Calibri" w:hAnsi="Calibri" w:cs="宋体"/>
                <w:color w:val="000000"/>
                <w:kern w:val="0"/>
                <w:sz w:val="20"/>
                <w:szCs w:val="20"/>
                <w:lang w:val="en-US" w:eastAsia="zh-CN"/>
              </w:rPr>
              <w:t>49</w:t>
            </w:r>
          </w:p>
        </w:tc>
      </w:tr>
      <w:tr w14:paraId="7CD6A868">
        <w:tblPrEx>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BD894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D180321">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2EF3C6B">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237EA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1EB857">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CFE259">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57DD3E">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D8A415">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1</w:t>
            </w:r>
          </w:p>
        </w:tc>
      </w:tr>
    </w:tbl>
    <w:p w14:paraId="4E6A0786">
      <w:pPr>
        <w:widowControl/>
        <w:shd w:val="clear" w:color="auto" w:fill="auto"/>
        <w:jc w:val="center"/>
        <w:rPr>
          <w:rFonts w:hint="eastAsia" w:ascii="宋体" w:hAnsi="宋体" w:eastAsia="宋体" w:cs="宋体"/>
          <w:color w:val="000000"/>
          <w:kern w:val="0"/>
          <w:sz w:val="24"/>
          <w:szCs w:val="24"/>
        </w:rPr>
      </w:pPr>
    </w:p>
    <w:p w14:paraId="06EC040A">
      <w:pPr>
        <w:widowControl/>
        <w:shd w:val="clear" w:color="auto" w:fill="auto"/>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14:paraId="57D0C467">
      <w:pPr>
        <w:widowControl/>
        <w:shd w:val="clear" w:color="auto" w:fill="auto"/>
        <w:jc w:val="center"/>
        <w:rPr>
          <w:rFonts w:hint="eastAsia" w:ascii="宋体" w:hAnsi="宋体" w:eastAsia="宋体" w:cs="宋体"/>
          <w:color w:val="000000"/>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741B3F2">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6A3E8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0A75F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14:paraId="492F0476">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45BB2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DB55E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A74D4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C475B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FEAB4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E00EB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4E1D2A">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复议后起诉</w:t>
            </w:r>
          </w:p>
        </w:tc>
      </w:tr>
      <w:tr w14:paraId="48351BE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14:paraId="162285F3">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14:paraId="64B1C87C">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155696B">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296990D">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F05DE18">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8FE27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E827D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3731D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700EC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9947D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E6964A">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结果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2A2044">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结果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DB7CA2">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其他</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E1E4DE">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尚未</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E4AC7C">
            <w:pPr>
              <w:widowControl/>
              <w:jc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总计</w:t>
            </w:r>
          </w:p>
        </w:tc>
      </w:tr>
      <w:tr w14:paraId="1F0E1AA6">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089712">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28FD8E">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543DA2">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88AD04B">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1</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6941E6">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7</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C9525B">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AB4A50">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A72D18">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0C3B8A">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E63D86">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6D4A20">
            <w:pPr>
              <w:widowControl/>
              <w:jc w:val="center"/>
              <w:rPr>
                <w:rFonts w:ascii="宋体" w:hAnsi="宋体" w:eastAsia="宋体" w:cs="宋体"/>
                <w:color w:val="000000"/>
                <w:kern w:val="0"/>
                <w:sz w:val="21"/>
                <w:szCs w:val="21"/>
                <w:highlight w:val="none"/>
              </w:rPr>
            </w:pPr>
            <w:r>
              <w:rPr>
                <w:rFonts w:hint="eastAsia" w:ascii="Calibri" w:hAnsi="Calibri" w:cs="宋体"/>
                <w:color w:val="000000"/>
                <w:kern w:val="0"/>
                <w:sz w:val="20"/>
                <w:szCs w:val="20"/>
                <w:highlight w:val="none"/>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9E6A33">
            <w:pPr>
              <w:widowControl/>
              <w:jc w:val="center"/>
              <w:rPr>
                <w:rFonts w:ascii="宋体" w:hAnsi="宋体" w:eastAsia="宋体" w:cs="宋体"/>
                <w:color w:val="000000"/>
                <w:kern w:val="0"/>
                <w:sz w:val="21"/>
                <w:szCs w:val="21"/>
                <w:highlight w:val="none"/>
              </w:rPr>
            </w:pPr>
            <w:r>
              <w:rPr>
                <w:rFonts w:hint="eastAsia" w:ascii="Calibri" w:hAnsi="Calibri" w:cs="宋体"/>
                <w:color w:val="000000"/>
                <w:kern w:val="0"/>
                <w:sz w:val="20"/>
                <w:szCs w:val="20"/>
                <w:highlight w:val="none"/>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EAFFE7">
            <w:pPr>
              <w:widowControl/>
              <w:jc w:val="center"/>
              <w:rPr>
                <w:rFonts w:ascii="宋体" w:hAnsi="宋体" w:eastAsia="宋体" w:cs="宋体"/>
                <w:color w:val="000000"/>
                <w:kern w:val="0"/>
                <w:sz w:val="21"/>
                <w:szCs w:val="21"/>
                <w:highlight w:val="none"/>
              </w:rPr>
            </w:pPr>
            <w:r>
              <w:rPr>
                <w:rFonts w:hint="eastAsia" w:ascii="Calibri" w:hAnsi="Calibri" w:cs="宋体"/>
                <w:color w:val="000000"/>
                <w:kern w:val="0"/>
                <w:sz w:val="20"/>
                <w:szCs w:val="20"/>
                <w:highlight w:val="none"/>
                <w:lang w:val="en-US" w:eastAsia="zh-CN"/>
              </w:rPr>
              <w:t>2</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E7B83E">
            <w:pPr>
              <w:widowControl/>
              <w:jc w:val="center"/>
              <w:rPr>
                <w:rFonts w:ascii="宋体" w:hAnsi="宋体" w:eastAsia="宋体" w:cs="宋体"/>
                <w:color w:val="000000"/>
                <w:kern w:val="0"/>
                <w:sz w:val="21"/>
                <w:szCs w:val="21"/>
                <w:highlight w:val="none"/>
              </w:rPr>
            </w:pPr>
            <w:r>
              <w:rPr>
                <w:rFonts w:hint="eastAsia" w:ascii="Calibri" w:hAnsi="Calibri" w:cs="宋体"/>
                <w:color w:val="000000"/>
                <w:kern w:val="0"/>
                <w:sz w:val="20"/>
                <w:szCs w:val="20"/>
                <w:highlight w:val="none"/>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51781E">
            <w:pPr>
              <w:widowControl/>
              <w:jc w:val="center"/>
              <w:rPr>
                <w:rFonts w:ascii="宋体" w:hAnsi="宋体" w:eastAsia="宋体" w:cs="宋体"/>
                <w:color w:val="000000"/>
                <w:kern w:val="0"/>
                <w:sz w:val="21"/>
                <w:szCs w:val="21"/>
                <w:highlight w:val="none"/>
              </w:rPr>
            </w:pPr>
            <w:r>
              <w:rPr>
                <w:rFonts w:hint="eastAsia" w:ascii="Calibri" w:hAnsi="Calibri" w:cs="宋体"/>
                <w:color w:val="000000"/>
                <w:kern w:val="0"/>
                <w:sz w:val="20"/>
                <w:szCs w:val="20"/>
                <w:highlight w:val="none"/>
                <w:lang w:val="en-US" w:eastAsia="zh-CN"/>
              </w:rPr>
              <w:t>2</w:t>
            </w:r>
          </w:p>
        </w:tc>
      </w:tr>
    </w:tbl>
    <w:p w14:paraId="4AA19E98">
      <w:pPr>
        <w:widowControl/>
        <w:jc w:val="left"/>
        <w:rPr>
          <w:rFonts w:hint="eastAsia" w:ascii="宋体" w:hAnsi="宋体" w:eastAsia="宋体" w:cs="宋体"/>
          <w:color w:val="000000"/>
          <w:kern w:val="0"/>
          <w:sz w:val="24"/>
          <w:szCs w:val="24"/>
        </w:rPr>
      </w:pPr>
    </w:p>
    <w:p w14:paraId="3831DD0E">
      <w:pPr>
        <w:widowControl/>
        <w:shd w:val="clear" w:color="auto" w:fill="auto"/>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14:paraId="714A2247">
      <w:pPr>
        <w:pStyle w:val="4"/>
        <w:keepNext w:val="0"/>
        <w:keepLines w:val="0"/>
        <w:widowControl/>
        <w:suppressLineNumbers w:val="0"/>
        <w:shd w:val="clear" w:color="auto" w:fill="auto"/>
        <w:spacing w:before="0" w:beforeAutospacing="0" w:after="0" w:afterAutospacing="0"/>
        <w:ind w:left="0" w:right="0" w:firstLine="480"/>
        <w:jc w:val="both"/>
        <w:rPr>
          <w:rFonts w:hint="eastAsia" w:ascii="仿宋_GB2312" w:hAnsi="仿宋_GB2312" w:eastAsia="仿宋_GB2312" w:cs="仿宋_GB2312"/>
          <w:color w:val="000000"/>
          <w:sz w:val="31"/>
          <w:szCs w:val="31"/>
          <w:shd w:val="clear" w:color="auto" w:fill="FFFFFF"/>
          <w:lang w:eastAsia="zh-CN"/>
        </w:rPr>
      </w:pPr>
      <w:r>
        <w:rPr>
          <w:rFonts w:hint="eastAsia" w:ascii="仿宋_GB2312" w:hAnsi="仿宋_GB2312" w:eastAsia="仿宋_GB2312" w:cs="仿宋_GB2312"/>
          <w:color w:val="000000"/>
          <w:sz w:val="31"/>
          <w:szCs w:val="31"/>
          <w:shd w:val="clear" w:color="auto" w:fill="FFFFFF"/>
          <w:lang w:eastAsia="zh-CN"/>
        </w:rPr>
        <w:t>在202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lang w:eastAsia="zh-CN"/>
        </w:rPr>
        <w:t>年度，我办在政府信息公开工作方面取得了一定的</w:t>
      </w:r>
      <w:r>
        <w:rPr>
          <w:rFonts w:hint="eastAsia" w:ascii="仿宋_GB2312" w:hAnsi="仿宋_GB2312" w:eastAsia="仿宋_GB2312" w:cs="仿宋_GB2312"/>
          <w:color w:val="000000"/>
          <w:sz w:val="31"/>
          <w:szCs w:val="31"/>
          <w:shd w:val="clear" w:color="auto" w:fill="FFFFFF"/>
          <w:lang w:val="en-US" w:eastAsia="zh-CN"/>
        </w:rPr>
        <w:t>成效</w:t>
      </w:r>
      <w:r>
        <w:rPr>
          <w:rFonts w:hint="eastAsia" w:ascii="仿宋_GB2312" w:hAnsi="仿宋_GB2312" w:eastAsia="仿宋_GB2312" w:cs="仿宋_GB2312"/>
          <w:color w:val="000000"/>
          <w:sz w:val="31"/>
          <w:szCs w:val="31"/>
          <w:shd w:val="clear" w:color="auto" w:fill="FFFFFF"/>
          <w:lang w:eastAsia="zh-CN"/>
        </w:rPr>
        <w:t>，但同时也</w:t>
      </w:r>
      <w:r>
        <w:rPr>
          <w:rFonts w:hint="eastAsia" w:ascii="仿宋_GB2312" w:hAnsi="仿宋_GB2312" w:eastAsia="仿宋_GB2312" w:cs="仿宋_GB2312"/>
          <w:color w:val="000000"/>
          <w:sz w:val="31"/>
          <w:szCs w:val="31"/>
          <w:shd w:val="clear" w:color="auto" w:fill="FFFFFF"/>
          <w:lang w:val="en-US" w:eastAsia="zh-CN"/>
        </w:rPr>
        <w:t>存在</w:t>
      </w:r>
      <w:r>
        <w:rPr>
          <w:rFonts w:hint="eastAsia" w:ascii="仿宋_GB2312" w:hAnsi="仿宋_GB2312" w:eastAsia="仿宋_GB2312" w:cs="仿宋_GB2312"/>
          <w:color w:val="000000"/>
          <w:sz w:val="31"/>
          <w:szCs w:val="31"/>
          <w:shd w:val="clear" w:color="auto" w:fill="FFFFFF"/>
          <w:lang w:eastAsia="zh-CN"/>
        </w:rPr>
        <w:t>一些问题。</w:t>
      </w:r>
      <w:r>
        <w:rPr>
          <w:rFonts w:hint="eastAsia" w:ascii="仿宋_GB2312" w:hAnsi="仿宋_GB2312" w:eastAsia="仿宋_GB2312" w:cs="仿宋_GB2312"/>
          <w:color w:val="000000"/>
          <w:sz w:val="31"/>
          <w:szCs w:val="31"/>
          <w:shd w:val="clear" w:color="auto" w:fill="FFFFFF"/>
          <w:lang w:val="en-US" w:eastAsia="zh-CN"/>
        </w:rPr>
        <w:t>在</w:t>
      </w:r>
      <w:r>
        <w:rPr>
          <w:rFonts w:hint="eastAsia" w:ascii="仿宋_GB2312" w:hAnsi="仿宋_GB2312" w:eastAsia="仿宋_GB2312" w:cs="仿宋_GB2312"/>
          <w:color w:val="000000"/>
          <w:sz w:val="31"/>
          <w:szCs w:val="31"/>
          <w:shd w:val="clear" w:color="auto" w:fill="FFFFFF"/>
          <w:lang w:eastAsia="zh-CN"/>
        </w:rPr>
        <w:t>行政复议</w:t>
      </w:r>
      <w:r>
        <w:rPr>
          <w:rFonts w:hint="eastAsia" w:ascii="仿宋_GB2312" w:hAnsi="仿宋_GB2312" w:eastAsia="仿宋_GB2312" w:cs="仿宋_GB2312"/>
          <w:color w:val="000000"/>
          <w:sz w:val="31"/>
          <w:szCs w:val="31"/>
          <w:shd w:val="clear" w:color="auto" w:fill="FFFFFF"/>
          <w:lang w:val="en-US" w:eastAsia="zh-CN"/>
        </w:rPr>
        <w:t>中有1项“结果纠正”，已按照区司法局要求重新进行答复。同时，</w:t>
      </w:r>
      <w:r>
        <w:rPr>
          <w:rFonts w:hint="eastAsia" w:ascii="仿宋_GB2312" w:hAnsi="仿宋_GB2312" w:eastAsia="仿宋_GB2312" w:cs="仿宋_GB2312"/>
          <w:color w:val="000000"/>
          <w:sz w:val="31"/>
          <w:szCs w:val="31"/>
          <w:shd w:val="clear" w:color="auto" w:fill="FFFFFF"/>
          <w:lang w:eastAsia="zh-CN"/>
        </w:rPr>
        <w:t>在信息公开的时效性和准确性方面仍需进一步加强，确保信息的及时更新，以满足人民群众的知情权和参与权。此外，信息公开的渠道和方式亦需进一步优化，以适应不同群体的信息获取需求。针对上述问题，</w:t>
      </w:r>
      <w:r>
        <w:rPr>
          <w:rFonts w:hint="eastAsia" w:ascii="仿宋_GB2312" w:hAnsi="仿宋_GB2312" w:eastAsia="仿宋_GB2312" w:cs="仿宋_GB2312"/>
          <w:color w:val="000000"/>
          <w:sz w:val="31"/>
          <w:szCs w:val="31"/>
          <w:shd w:val="clear" w:color="auto" w:fill="FFFFFF"/>
          <w:lang w:val="en-US" w:eastAsia="zh-CN"/>
        </w:rPr>
        <w:t>区国动办</w:t>
      </w:r>
      <w:r>
        <w:rPr>
          <w:rFonts w:hint="eastAsia" w:ascii="仿宋_GB2312" w:hAnsi="仿宋_GB2312" w:eastAsia="仿宋_GB2312" w:cs="仿宋_GB2312"/>
          <w:color w:val="000000"/>
          <w:sz w:val="31"/>
          <w:szCs w:val="31"/>
          <w:shd w:val="clear" w:color="auto" w:fill="FFFFFF"/>
          <w:lang w:eastAsia="zh-CN"/>
        </w:rPr>
        <w:t>将加强内部管理，提升工作人员的信息公开意识和专业能力，拓展信息公开渠道，利用多元化的平台和方式，确保信息的广泛传播和及时获取。同时，建立和完善监督机制，对信息公开工作进行全方位监督，确保各项措施得到有效执行。</w:t>
      </w:r>
    </w:p>
    <w:p w14:paraId="6363847B">
      <w:pPr>
        <w:ind w:firstLine="640" w:firstLineChars="200"/>
        <w:rPr>
          <w:rFonts w:hint="eastAsia" w:ascii="仿宋_GB2312" w:hAnsi="仿宋_GB2312" w:eastAsia="仿宋_GB2312" w:cs="仿宋_GB2312"/>
          <w:color w:val="000000"/>
          <w:sz w:val="31"/>
          <w:szCs w:val="31"/>
          <w:shd w:val="clear" w:color="auto" w:fill="FFFFFF"/>
          <w:lang w:val="en-US" w:eastAsia="zh-CN"/>
        </w:rPr>
      </w:pPr>
      <w:r>
        <w:rPr>
          <w:rFonts w:hint="eastAsia" w:ascii="黑体" w:hAnsi="黑体" w:eastAsia="黑体" w:cs="黑体"/>
          <w:b w:val="0"/>
          <w:bCs w:val="0"/>
          <w:color w:val="000000"/>
          <w:kern w:val="0"/>
          <w:sz w:val="32"/>
          <w:szCs w:val="32"/>
        </w:rPr>
        <w:t>六、其他需要报告的事项</w:t>
      </w:r>
    </w:p>
    <w:p w14:paraId="22B15530">
      <w:pPr>
        <w:ind w:firstLine="620" w:firstLineChars="200"/>
        <w:rPr>
          <w:rFonts w:hint="default" w:ascii="仿宋_GB2312" w:hAnsi="仿宋_GB2312" w:eastAsia="仿宋_GB2312" w:cs="仿宋_GB2312"/>
          <w:color w:val="000000"/>
          <w:sz w:val="31"/>
          <w:szCs w:val="31"/>
          <w:shd w:val="clear" w:color="auto" w:fill="FFFFFF"/>
          <w:lang w:val="en-US" w:eastAsia="zh-CN"/>
        </w:rPr>
      </w:pPr>
      <w:r>
        <w:rPr>
          <w:rFonts w:hint="eastAsia" w:ascii="仿宋_GB2312" w:hAnsi="仿宋_GB2312" w:eastAsia="仿宋_GB2312" w:cs="仿宋_GB2312"/>
          <w:color w:val="000000"/>
          <w:sz w:val="31"/>
          <w:szCs w:val="31"/>
          <w:shd w:val="clear" w:color="auto" w:fill="FFFFFF"/>
          <w:lang w:val="en-US" w:eastAsia="zh-CN"/>
        </w:rPr>
        <w:t>行政复议中1项“尚未审结”的，由于是12月底申请的复议，目前已经审结完毕并公开。复议后起诉中2项“其他结果”的，原告已撤诉。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0C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D57E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D57E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NTM1NmI3YWQxYjE1NjYyNmNjN2IxNDY2NGIzZjAifQ=="/>
  </w:docVars>
  <w:rsids>
    <w:rsidRoot w:val="FEFAD4CC"/>
    <w:rsid w:val="04F063EF"/>
    <w:rsid w:val="07033E78"/>
    <w:rsid w:val="13C07451"/>
    <w:rsid w:val="1A3368A2"/>
    <w:rsid w:val="22453FEA"/>
    <w:rsid w:val="341C7ECE"/>
    <w:rsid w:val="3A8B6701"/>
    <w:rsid w:val="3D0C68F6"/>
    <w:rsid w:val="486363B1"/>
    <w:rsid w:val="4F1371FE"/>
    <w:rsid w:val="60BD1DF5"/>
    <w:rsid w:val="6EE84D76"/>
    <w:rsid w:val="E1594745"/>
    <w:rsid w:val="FEFAD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484</Words>
  <Characters>496</Characters>
  <Lines>0</Lines>
  <Paragraphs>0</Paragraphs>
  <TotalTime>13</TotalTime>
  <ScaleCrop>false</ScaleCrop>
  <LinksUpToDate>false</LinksUpToDate>
  <CharactersWithSpaces>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2023-01-05T20:39:00Z</dcterms:created>
  <dc:creator>kylin</dc:creator>
  <cp:lastModifiedBy>冬夏常青</cp:lastModifiedBy>
  <cp:lastPrinted>2025-01-20T05:52:00Z</cp:lastPrinted>
  <dcterms:modified xsi:type="dcterms:W3CDTF">2025-01-22T07:17:52Z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9D6EFE7975FD46A5BD4C0A2C3F0CB432_13</vt:lpwstr>
  </property>
  <property fmtid="{D5CDD505-2E9C-101B-9397-08002B2CF9AE}" pid="4" name="KSOTemplateDocerSaveRecord">
    <vt:lpwstr>eyJoZGlkIjoiYjk0Mzk3YmI5NGY3YjNjZDk4ZjAxMzliNGFkMWQ4ZmUiLCJ1c2VySWQiOiIzOTMyNzA4NjAifQ==</vt:lpwstr>
  </property>
</Properties>
</file>