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B177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区国防动员办公室（区人民防空办公室）</w:t>
      </w:r>
    </w:p>
    <w:p w14:paraId="1FCB69C4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关于面向企业开展“蓝图预鉴”</w:t>
      </w:r>
    </w:p>
    <w:p w14:paraId="4D828881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服务工作的通知</w:t>
      </w:r>
    </w:p>
    <w:p w14:paraId="7E56274E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 xml:space="preserve"> </w:t>
      </w:r>
    </w:p>
    <w:p w14:paraId="4FD55751">
      <w:pPr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有关企业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</w:t>
      </w:r>
    </w:p>
    <w:p w14:paraId="6A361FA3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深入贯彻落实习近平总书记关于人民防空的重要指示精神，</w:t>
      </w:r>
      <w:r>
        <w:rPr>
          <w:rFonts w:hint="eastAsia" w:ascii="仿宋_GB2312" w:eastAsia="仿宋_GB2312"/>
          <w:color w:val="auto"/>
          <w:sz w:val="32"/>
          <w:szCs w:val="32"/>
        </w:rPr>
        <w:t>进一步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优化营商环境，</w:t>
      </w:r>
      <w:r>
        <w:rPr>
          <w:rFonts w:hint="eastAsia" w:ascii="仿宋_GB2312" w:eastAsia="仿宋_GB2312"/>
          <w:color w:val="auto"/>
          <w:sz w:val="32"/>
          <w:szCs w:val="32"/>
        </w:rPr>
        <w:t>提升人防工程质量，推动新时期滨海新区人防工作高质量发展，加强服务型政府建设，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《中华人民共和国人民防空法》及相关法律法规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区国防动员办公室（区人民防空办公室）决定面向各有关企业开展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“蓝图预鉴”服务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现将有关事项通知如下：</w:t>
      </w:r>
    </w:p>
    <w:p w14:paraId="1B5DB733">
      <w:pPr>
        <w:ind w:firstLine="64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一、服务目的</w:t>
      </w:r>
    </w:p>
    <w:p w14:paraId="787FF6EA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“蓝图预鉴”服务聚焦人防工程防护效能与结构安全核心要素，涵盖施工蓝图审查、技术咨询及指导等多个环节，通过对建设单位提交的施工图纸开展前置性、全流程技术把关，从源头处、从根本上、从全环节识别发现潜在设计隐患，</w:t>
      </w:r>
      <w:r>
        <w:rPr>
          <w:rFonts w:hint="eastAsia" w:ascii="仿宋_GB2312" w:eastAsia="仿宋_GB2312"/>
          <w:color w:val="auto"/>
          <w:sz w:val="32"/>
          <w:szCs w:val="32"/>
        </w:rPr>
        <w:t>精准识别设计瑕疵、技术漏洞及施工难点，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推动人防工程质量监管由“事后纠偏”向“事前预防”转变。</w:t>
      </w:r>
    </w:p>
    <w:p w14:paraId="2BAC9C62">
      <w:pPr>
        <w:ind w:firstLine="64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二、服务对象</w:t>
      </w:r>
    </w:p>
    <w:p w14:paraId="7C5047CF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滨海新区范围内所有建设人防工程项目。</w:t>
      </w:r>
    </w:p>
    <w:p w14:paraId="3792497F">
      <w:pPr>
        <w:ind w:firstLine="64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三、服务内容及具体流程</w:t>
      </w:r>
    </w:p>
    <w:p w14:paraId="372C6024"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“蓝图”是指建设项目已经完成施工图审查，准备报区国防动员办公室（区人民防空办公室）进行人防工程质量监督工作时提供的图纸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“预鉴”是指建设单位报人防工程质量监督时，区国防动员办公室（区人民防空办公室）对其提交的“蓝图”进行预先审核。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以下为服务具体流程：</w:t>
      </w:r>
    </w:p>
    <w:p w14:paraId="26205554">
      <w:pPr>
        <w:numPr>
          <w:ilvl w:val="0"/>
          <w:numId w:val="0"/>
        </w:numPr>
        <w:spacing w:line="575" w:lineRule="exact"/>
        <w:ind w:firstLine="643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图纸预鉴。</w:t>
      </w:r>
      <w:r>
        <w:rPr>
          <w:rFonts w:ascii="Times New Roman" w:hAnsi="Times New Roman" w:eastAsia="仿宋_GB2312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人防工程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建设单位在报人防工程质量监督阶段提交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已完成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第三方图纸审查的蓝图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资料，由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区国防动员办公室（区人民防空办公室）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技术审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核，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按照相关要求和规范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梳理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设计中存在的问题。</w:t>
      </w:r>
    </w:p>
    <w:p w14:paraId="5B2758E0">
      <w:pPr>
        <w:numPr>
          <w:ilvl w:val="0"/>
          <w:numId w:val="0"/>
        </w:numPr>
        <w:spacing w:line="575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2.问题反馈。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在项目监督交底前，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区国防动员办公室（区人民防空办公室）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出具《“蓝图预鉴”服务</w:t>
      </w:r>
      <w:r>
        <w:rPr>
          <w:rFonts w:hint="eastAsia" w:ascii="仿宋_GB2312" w:eastAsia="仿宋_GB2312"/>
          <w:color w:val="auto"/>
          <w:sz w:val="32"/>
          <w:szCs w:val="32"/>
        </w:rPr>
        <w:t>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书》，与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人防工程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建设单位、设计单位、施工单位进行现场技术交流，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对相关问题进行解答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698B2BA7">
      <w:pPr>
        <w:spacing w:line="575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3.过程管理。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人防工程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建设单位、设计单位按照《“蓝图预鉴”服务</w:t>
      </w:r>
      <w:r>
        <w:rPr>
          <w:rFonts w:hint="eastAsia" w:ascii="仿宋_GB2312" w:eastAsia="仿宋_GB2312"/>
          <w:color w:val="auto"/>
          <w:sz w:val="32"/>
          <w:szCs w:val="32"/>
        </w:rPr>
        <w:t>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书》进一步完善施工图纸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施工单位按照完善后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图纸进行现场施工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64C7A57E">
      <w:pPr>
        <w:ind w:firstLine="64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四、有关事项</w:t>
      </w:r>
    </w:p>
    <w:p w14:paraId="7F94C95B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1.“蓝图预鉴”为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区国防动员办公室（区人民防空办公室）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提供的无偿服务，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该服务不涉及行政执法，不具有强制性，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不增加各相关单位责任义务，不延长人防工程质量监督环节审核时间。</w:t>
      </w:r>
    </w:p>
    <w:p w14:paraId="014BFA98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为保证“蓝图预鉴”服务效果，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区国防动员办公室（区人民防空办公室）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将配套实施问题跟踪与整改机制，对建设单位进行过程管理与指导，有效解决设计隐患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形成双向互动、同频共振的良性循环。</w:t>
      </w:r>
    </w:p>
    <w:p w14:paraId="0683805A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3.接受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“蓝图预鉴”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服务的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企业应确保提交的材料真实准确，如因材料不实导致的问题，由企业自行承担相关责任。</w:t>
      </w:r>
    </w:p>
    <w:p w14:paraId="6857BF82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区国防动员办公室（区人民防空办公室）将严格按照法律法规和相关标准进行审核，以确保审核结果的公正性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权威性。</w:t>
      </w:r>
    </w:p>
    <w:p w14:paraId="7CABCF4D">
      <w:pPr>
        <w:ind w:firstLine="64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联系方式</w:t>
      </w:r>
    </w:p>
    <w:p w14:paraId="31F72F7B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联系人：张成浩</w:t>
      </w:r>
    </w:p>
    <w:p w14:paraId="5B449F74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022-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66897370 </w:t>
      </w:r>
    </w:p>
    <w:p w14:paraId="6ABC68AE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地址：滨海新区大连道1678号202室</w:t>
      </w:r>
    </w:p>
    <w:p w14:paraId="34911B0B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instrText xml:space="preserve"> HYPERLINK "mailto:bhxqgdbgc@163.com" </w:instrTex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bhxqgdbgc@163.com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fldChar w:fldCharType="end"/>
      </w:r>
    </w:p>
    <w:p w14:paraId="3B85FF2F">
      <w:pPr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p w14:paraId="0CFD8620">
      <w:pPr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附件：区国防动员办公室蓝图预鉴服务流程图</w:t>
      </w:r>
    </w:p>
    <w:p w14:paraId="5E1E47C1">
      <w:pPr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081BBC9">
      <w:pPr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F16E4FA">
      <w:pPr>
        <w:ind w:firstLine="4160" w:firstLineChars="13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滨海新区国防动员办公室</w:t>
      </w:r>
    </w:p>
    <w:p w14:paraId="2BE4F7A5">
      <w:pPr>
        <w:ind w:firstLine="4160" w:firstLineChars="13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滨海新区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人民防空办公室</w:t>
      </w:r>
    </w:p>
    <w:p w14:paraId="40131767">
      <w:pPr>
        <w:ind w:firstLine="4812" w:firstLineChars="1504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2025年9月1日</w:t>
      </w:r>
    </w:p>
    <w:p w14:paraId="0FBB8ACC"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7E1E0C2">
      <w:pPr>
        <w:ind w:firstLine="4812" w:firstLineChars="1504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-969645</wp:posOffset>
            </wp:positionH>
            <wp:positionV relativeFrom="paragraph">
              <wp:posOffset>-876300</wp:posOffset>
            </wp:positionV>
            <wp:extent cx="10671810" cy="7068820"/>
            <wp:effectExtent l="0" t="0" r="15240" b="17780"/>
            <wp:wrapNone/>
            <wp:docPr id="1" name="图片 3" descr="附件.蓝图预鉴服务流程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附件.蓝图预鉴服务流程图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1810" cy="706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-559435</wp:posOffset>
                </wp:positionV>
                <wp:extent cx="1184275" cy="5816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B9C58B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35pt;margin-top:-44.05pt;height:45.8pt;width:93.25pt;z-index:251660288;mso-width-relative:page;mso-height-relative:page;" filled="f" stroked="f" coordsize="21600,21600" o:gfxdata="UEsDBAoAAAAAAIdO4kAAAAAAAAAAAAAAAAAEAAAAZHJzL1BLAwQUAAAACACHTuJAP0/kLdcAAAAJ&#10;AQAADwAAAGRycy9kb3ducmV2LnhtbE2PTU/DMAyG70j7D5EncduS7oOV0nSHIa4gBpvELWu8tqJx&#10;qiZby7/HO8HNlh+9ft58O7pWXLEPjScNyVyBQCq9bajS8PnxMktBhGjImtYTavjBANticpebzPqB&#10;3vG6j5XgEAqZ0VDH2GVShrJGZ8Lcd0h8O/vemchrX0nbm4HDXSsXSj1IZxriD7XpcFdj+b2/OA2H&#10;1/PXcaXeqme37gY/KknuUWp9P03UE4iIY/yD4abP6lCw08lfyAbRapgt0w2jPKRpAuJGrDZc5qRh&#10;uQZZ5PJ/g+IXUEsDBBQAAAAIAIdO4kB8DHV2rgEAAE4DAAAOAAAAZHJzL2Uyb0RvYy54bWytU0Fu&#10;2zAQvBfIHwjeY9pC4xqC5QCFkVyCtkDaB9AUZREguQSXtuQPtD/oqZfe+y6/o0vacdr0kkMvFLk7&#10;nN2ZpZa3o7NsryMa8A2fTaacaa+gNX7b8C+f764XnGGSvpUWvG74QSO/XV29WQ6h1hX0YFsdGZF4&#10;rIfQ8D6lUAuBqtdO4gSC9pTsIDqZ6Bi3oo1yIHZnRTWdzsUAsQ0RlEak6PqU5GfG+BpC6Dqj9BrU&#10;zmmfTqxRW5lIEvYmIF+VbrtOq/Sx61AnZhtOSlNZqQjtN3kVq6Wst1GG3qhzC/I1LbzQ5KTxVPRC&#10;tZZJsl00/1A5oyIgdGmiwImTkOIIqZhNX3jz2MugixayGsPFdPx/tOrD/lNkpm14xZmXjgZ+/P7t&#10;+OPX8edXVmV7hoA1oR4D4dL4HkZ6NE9xpGBWPXbR5S/pYZQncw8Xc/WYmMqXZou31bsbzhTlbhaz&#10;+by4L55vh4jpXoNjedPwSMMrnsr9AybqhKBPkFzMw52xtgzQ+r8CBMwRkVs/tZh3adyMZz0baA8k&#10;Zxei2fZUqggqcLK5FDo/iTzHP8+F9Pk3W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0/kLdcA&#10;AAAJAQAADwAAAAAAAAABACAAAAAiAAAAZHJzL2Rvd25yZXYueG1sUEsBAhQAFAAAAAgAh07iQHwM&#10;dXauAQAAT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9B9C58B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14:paraId="78E6DE83">
      <w:pPr>
        <w:ind w:firstLine="640"/>
        <w:rPr>
          <w:rFonts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EF3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058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5058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E5"/>
    <w:rsid w:val="005C67FB"/>
    <w:rsid w:val="00682111"/>
    <w:rsid w:val="00682CE5"/>
    <w:rsid w:val="00852A61"/>
    <w:rsid w:val="008D26AE"/>
    <w:rsid w:val="00926214"/>
    <w:rsid w:val="009C044C"/>
    <w:rsid w:val="031C44F1"/>
    <w:rsid w:val="037B7F7B"/>
    <w:rsid w:val="06F314EC"/>
    <w:rsid w:val="0D735465"/>
    <w:rsid w:val="0EBF3023"/>
    <w:rsid w:val="0F244C66"/>
    <w:rsid w:val="0F3D5D2B"/>
    <w:rsid w:val="12D44BF8"/>
    <w:rsid w:val="16686BAD"/>
    <w:rsid w:val="16DC407B"/>
    <w:rsid w:val="177B19B2"/>
    <w:rsid w:val="1ED41C72"/>
    <w:rsid w:val="25CF5C2F"/>
    <w:rsid w:val="264E03C6"/>
    <w:rsid w:val="27BC2441"/>
    <w:rsid w:val="2D125BFD"/>
    <w:rsid w:val="2D8A60D3"/>
    <w:rsid w:val="309612E7"/>
    <w:rsid w:val="342C2B9E"/>
    <w:rsid w:val="37FD78B0"/>
    <w:rsid w:val="38A73F35"/>
    <w:rsid w:val="39763A64"/>
    <w:rsid w:val="39D20D38"/>
    <w:rsid w:val="3EAB0813"/>
    <w:rsid w:val="3EF73FAF"/>
    <w:rsid w:val="46A64526"/>
    <w:rsid w:val="4C217485"/>
    <w:rsid w:val="4FFA0AF3"/>
    <w:rsid w:val="503061D1"/>
    <w:rsid w:val="52EF2B1C"/>
    <w:rsid w:val="569A6B8C"/>
    <w:rsid w:val="575431DF"/>
    <w:rsid w:val="5FD0613A"/>
    <w:rsid w:val="65FF3E17"/>
    <w:rsid w:val="6C5E271B"/>
    <w:rsid w:val="77F73F43"/>
    <w:rsid w:val="7BFDC896"/>
    <w:rsid w:val="7DCD1F9A"/>
    <w:rsid w:val="7F8F3A4A"/>
    <w:rsid w:val="D7CF5D56"/>
    <w:rsid w:val="F2FB3233"/>
    <w:rsid w:val="FFFF3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Other|1"/>
    <w:basedOn w:val="1"/>
    <w:qFormat/>
    <w:uiPriority w:val="0"/>
    <w:rPr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1124</Words>
  <Characters>1162</Characters>
  <Lines>4</Lines>
  <Paragraphs>1</Paragraphs>
  <TotalTime>12</TotalTime>
  <ScaleCrop>false</ScaleCrop>
  <LinksUpToDate>false</LinksUpToDate>
  <CharactersWithSpaces>1164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2025-07-29T18:28:00Z</dcterms:created>
  <dc:creator>Administrator</dc:creator>
  <cp:lastModifiedBy>冬夏常青</cp:lastModifiedBy>
  <dcterms:modified xsi:type="dcterms:W3CDTF">2025-09-01T08:16:30Z</dcterms:modified>
  <dc:title>天津市滨海新区国防动员办公室文件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eyJoZGlkIjoiYjk0Mzk3YmI5NGY3YjNjZDk4ZjAxMzliNGFkMWQ4ZmUiLCJ1c2VySWQiOiIzOTMyNzA4NjAifQ==</vt:lpwstr>
  </property>
  <property fmtid="{D5CDD505-2E9C-101B-9397-08002B2CF9AE}" pid="4" name="ICV">
    <vt:lpwstr>09ECF1C880584E61AACF273B2AF1A328_13</vt:lpwstr>
  </property>
</Properties>
</file>